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河北省文安县审计局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eastAsia="zh-CN"/>
        </w:rPr>
        <w:t>河北省文安县审计局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根据《文安县审计局职能配置、内设机构和人员编制规定》， 文安县审计局的主要职责是</w:t>
      </w:r>
      <w:r>
        <w:rPr>
          <w:rFonts w:hint="eastAsia" w:ascii="Times New Roman" w:hAnsi="Times New Roman" w:eastAsia="仿宋_GB2312" w:cs="Times New Roman"/>
          <w:sz w:val="32"/>
          <w:szCs w:val="32"/>
          <w:lang w:eastAsia="zh-CN"/>
        </w:rPr>
        <w:t>：</w:t>
      </w:r>
    </w:p>
    <w:p>
      <w:pPr>
        <w:pStyle w:val="1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和县委、县政府相关重大政策措施贯彻落实情况进行跟踪审计。对审计、专项审计调查和核查社会审计机构相关审计报告的结果承担责任，并负有督促被审计单位整改的责任。</w:t>
      </w:r>
    </w:p>
    <w:p>
      <w:pPr>
        <w:pStyle w:val="1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二)贯彻执行审计法律、法规和方针、政策，制定审计规范性文件并监督执行；制定并组织实施全县审计工作发展规划和专业领域审计工作规划；制定并组织实施全县年度审计计划，对直接审计、调查和核查的事项依法进行审计评价，作出审计决定或提出审计建议。</w:t>
      </w:r>
    </w:p>
    <w:p>
      <w:pPr>
        <w:pStyle w:val="1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三）向中共文安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2"/>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四）直接审计下列事项，出具审计报告，在法定职权范围内作出审计决定：包括国家、省、市和县有关重大政策措施贯彻落实情况；县本级预算执行情况和其他财政收支，县直各部门（含所属单位）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基金、社会捐赠资金和其他基金、资金的财务收支；国际组织和外国政府援助、贷款项目；法律法规规定的其他事项。</w:t>
      </w:r>
    </w:p>
    <w:p>
      <w:pPr>
        <w:pStyle w:val="1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（五）按规定对县管党政主要领导干部及其他单位主要负责人实施经济责任审计和自然资源资产离任审计。</w:t>
      </w:r>
    </w:p>
    <w:p>
      <w:pPr>
        <w:pStyle w:val="1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（六）组织实施对财经法律法规、规章、政策和宏观调控措施执行情况、财政预算管理及国有资产管理使用等与财政收支有关的特定事项进行专项审计调查。</w:t>
      </w:r>
    </w:p>
    <w:p>
      <w:pPr>
        <w:pStyle w:val="1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（七）依法检查审计决定执行情况，督促整改审计查出的问题，依法办理被审计单位对审计决定提请行政复议、行政诉讼或县政府裁决中的有关事项，协助配合有关部门查处相关重大案件。</w:t>
      </w:r>
    </w:p>
    <w:p>
      <w:pPr>
        <w:pStyle w:val="12"/>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（八）指导和监督内部审计工作，核查社会审计机构对依法属于审计监督对象的单位出具的相关审计报告。</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rPr>
        <w:t>）完成县委、县政府和市审计局交办的其他任务。</w:t>
      </w:r>
    </w:p>
    <w:p>
      <w:pPr>
        <w:spacing w:line="584" w:lineRule="exact"/>
        <w:ind w:firstLine="66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ind w:firstLine="420" w:firstLineChars="200"/>
              <w:rPr>
                <w:rFonts w:ascii="Times New Roman" w:hAnsi="Times New Roman" w:eastAsia="黑体" w:cs="Times New Roman"/>
                <w:sz w:val="21"/>
                <w:szCs w:val="21"/>
              </w:rPr>
            </w:pPr>
            <w:r>
              <w:rPr>
                <w:rFonts w:ascii="Times New Roman" w:hAnsi="Times New Roman" w:eastAsia="黑体" w:cs="Times New Roman"/>
                <w:sz w:val="21"/>
                <w:szCs w:val="21"/>
              </w:rPr>
              <w:t>单位名称</w:t>
            </w:r>
          </w:p>
        </w:tc>
        <w:tc>
          <w:tcPr>
            <w:tcW w:w="1134" w:type="dxa"/>
            <w:vMerge w:val="restart"/>
            <w:shd w:val="clear" w:color="auto" w:fill="auto"/>
            <w:vAlign w:val="center"/>
          </w:tcPr>
          <w:p>
            <w:pPr>
              <w:spacing w:line="584" w:lineRule="exact"/>
              <w:ind w:firstLine="420" w:firstLineChars="200"/>
              <w:rPr>
                <w:rFonts w:ascii="Times New Roman" w:hAnsi="Times New Roman" w:eastAsia="黑体" w:cs="Times New Roman"/>
                <w:sz w:val="21"/>
                <w:szCs w:val="21"/>
              </w:rPr>
            </w:pPr>
            <w:r>
              <w:rPr>
                <w:rFonts w:ascii="Times New Roman" w:hAnsi="Times New Roman" w:eastAsia="黑体" w:cs="Times New Roman"/>
                <w:sz w:val="21"/>
                <w:szCs w:val="21"/>
              </w:rPr>
              <w:t>单位性质</w:t>
            </w:r>
          </w:p>
        </w:tc>
        <w:tc>
          <w:tcPr>
            <w:tcW w:w="1276" w:type="dxa"/>
            <w:vMerge w:val="restart"/>
            <w:shd w:val="clear" w:color="auto" w:fill="auto"/>
            <w:vAlign w:val="center"/>
          </w:tcPr>
          <w:p>
            <w:pPr>
              <w:spacing w:line="584" w:lineRule="exact"/>
              <w:ind w:firstLine="420" w:firstLineChars="200"/>
              <w:rPr>
                <w:rFonts w:ascii="Times New Roman" w:hAnsi="Times New Roman" w:eastAsia="黑体" w:cs="Times New Roman"/>
                <w:sz w:val="21"/>
                <w:szCs w:val="21"/>
              </w:rPr>
            </w:pPr>
            <w:r>
              <w:rPr>
                <w:rFonts w:ascii="Times New Roman" w:hAnsi="Times New Roman" w:eastAsia="黑体" w:cs="Times New Roman"/>
                <w:sz w:val="21"/>
                <w:szCs w:val="21"/>
              </w:rPr>
              <w:t>单位规格</w:t>
            </w:r>
          </w:p>
        </w:tc>
        <w:tc>
          <w:tcPr>
            <w:tcW w:w="2902" w:type="dxa"/>
            <w:vMerge w:val="restart"/>
            <w:shd w:val="clear" w:color="auto" w:fill="auto"/>
            <w:vAlign w:val="center"/>
          </w:tcPr>
          <w:p>
            <w:pPr>
              <w:spacing w:line="584" w:lineRule="exact"/>
              <w:ind w:firstLine="420" w:firstLineChars="200"/>
              <w:rPr>
                <w:rFonts w:ascii="Times New Roman" w:hAnsi="Times New Roman" w:eastAsia="黑体" w:cs="Times New Roman"/>
                <w:sz w:val="21"/>
                <w:szCs w:val="21"/>
              </w:rPr>
            </w:pPr>
            <w:r>
              <w:rPr>
                <w:rFonts w:ascii="Times New Roman" w:hAnsi="Times New Roman" w:eastAsia="黑体" w:cs="Times New Roman"/>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ind w:firstLine="420" w:firstLineChars="200"/>
              <w:rPr>
                <w:rFonts w:ascii="Times New Roman" w:hAnsi="Times New Roman" w:eastAsia="黑体" w:cs="Times New Roman"/>
                <w:sz w:val="21"/>
                <w:szCs w:val="21"/>
              </w:rPr>
            </w:pPr>
          </w:p>
        </w:tc>
        <w:tc>
          <w:tcPr>
            <w:tcW w:w="1134" w:type="dxa"/>
            <w:vMerge w:val="continue"/>
            <w:shd w:val="clear" w:color="auto" w:fill="auto"/>
            <w:vAlign w:val="center"/>
          </w:tcPr>
          <w:p>
            <w:pPr>
              <w:spacing w:line="584" w:lineRule="exact"/>
              <w:ind w:firstLine="420" w:firstLineChars="200"/>
              <w:rPr>
                <w:rFonts w:ascii="Times New Roman" w:hAnsi="Times New Roman" w:eastAsia="黑体" w:cs="Times New Roman"/>
                <w:sz w:val="21"/>
                <w:szCs w:val="21"/>
              </w:rPr>
            </w:pPr>
          </w:p>
        </w:tc>
        <w:tc>
          <w:tcPr>
            <w:tcW w:w="1276" w:type="dxa"/>
            <w:vMerge w:val="continue"/>
            <w:shd w:val="clear" w:color="auto" w:fill="auto"/>
            <w:vAlign w:val="center"/>
          </w:tcPr>
          <w:p>
            <w:pPr>
              <w:spacing w:line="584" w:lineRule="exact"/>
              <w:ind w:firstLine="420" w:firstLineChars="200"/>
              <w:rPr>
                <w:rFonts w:ascii="Times New Roman" w:hAnsi="Times New Roman" w:eastAsia="黑体" w:cs="Times New Roman"/>
                <w:sz w:val="21"/>
                <w:szCs w:val="21"/>
              </w:rPr>
            </w:pPr>
          </w:p>
        </w:tc>
        <w:tc>
          <w:tcPr>
            <w:tcW w:w="2902" w:type="dxa"/>
            <w:vMerge w:val="continue"/>
            <w:shd w:val="clear" w:color="auto" w:fill="auto"/>
            <w:vAlign w:val="center"/>
          </w:tcPr>
          <w:p>
            <w:pPr>
              <w:spacing w:line="584" w:lineRule="exact"/>
              <w:ind w:firstLine="420" w:firstLineChars="200"/>
              <w:rPr>
                <w:rFonts w:ascii="Times New Roman" w:hAnsi="Times New Roman" w:eastAsia="黑体"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ind w:firstLine="420" w:firstLineChars="200"/>
              <w:rPr>
                <w:rFonts w:hint="eastAsia"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文安县审计局</w:t>
            </w:r>
          </w:p>
        </w:tc>
        <w:tc>
          <w:tcPr>
            <w:tcW w:w="1134" w:type="dxa"/>
            <w:shd w:val="clear" w:color="auto" w:fill="auto"/>
            <w:vAlign w:val="center"/>
          </w:tcPr>
          <w:p>
            <w:pPr>
              <w:spacing w:line="584" w:lineRule="exact"/>
              <w:ind w:firstLine="420" w:firstLineChars="200"/>
              <w:rPr>
                <w:rFonts w:hint="eastAsia"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行政</w:t>
            </w:r>
          </w:p>
        </w:tc>
        <w:tc>
          <w:tcPr>
            <w:tcW w:w="1276" w:type="dxa"/>
            <w:shd w:val="clear" w:color="auto" w:fill="auto"/>
            <w:vAlign w:val="center"/>
          </w:tcPr>
          <w:p>
            <w:pPr>
              <w:spacing w:line="584" w:lineRule="exact"/>
              <w:ind w:firstLine="420" w:firstLineChars="200"/>
              <w:rPr>
                <w:rFonts w:hint="eastAsia"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正科级</w:t>
            </w:r>
          </w:p>
        </w:tc>
        <w:tc>
          <w:tcPr>
            <w:tcW w:w="2902" w:type="dxa"/>
            <w:shd w:val="clear" w:color="auto" w:fill="auto"/>
            <w:vAlign w:val="center"/>
          </w:tcPr>
          <w:p>
            <w:pPr>
              <w:spacing w:line="584" w:lineRule="exact"/>
              <w:ind w:firstLine="420" w:firstLineChars="200"/>
              <w:rPr>
                <w:rFonts w:hint="eastAsia"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b w:val="0"/>
                <w:bCs/>
                <w:sz w:val="21"/>
                <w:szCs w:val="21"/>
              </w:rPr>
            </w:pPr>
          </w:p>
        </w:tc>
        <w:tc>
          <w:tcPr>
            <w:tcW w:w="1134" w:type="dxa"/>
            <w:shd w:val="clear" w:color="auto" w:fill="auto"/>
            <w:vAlign w:val="center"/>
          </w:tcPr>
          <w:p>
            <w:pPr>
              <w:spacing w:line="584" w:lineRule="exact"/>
              <w:jc w:val="center"/>
              <w:rPr>
                <w:rFonts w:ascii="Times New Roman" w:hAnsi="Times New Roman" w:eastAsia="仿宋_GB2312" w:cs="Times New Roman"/>
                <w:b w:val="0"/>
                <w:bCs/>
                <w:sz w:val="21"/>
                <w:szCs w:val="21"/>
              </w:rPr>
            </w:pPr>
          </w:p>
        </w:tc>
        <w:tc>
          <w:tcPr>
            <w:tcW w:w="1276" w:type="dxa"/>
            <w:shd w:val="clear" w:color="auto" w:fill="auto"/>
            <w:vAlign w:val="center"/>
          </w:tcPr>
          <w:p>
            <w:pPr>
              <w:spacing w:line="584" w:lineRule="exact"/>
              <w:jc w:val="center"/>
              <w:rPr>
                <w:rFonts w:ascii="Times New Roman" w:hAnsi="Times New Roman" w:eastAsia="仿宋_GB2312" w:cs="Times New Roman"/>
                <w:b w:val="0"/>
                <w:bCs/>
                <w:sz w:val="21"/>
                <w:szCs w:val="21"/>
              </w:rPr>
            </w:pPr>
          </w:p>
        </w:tc>
        <w:tc>
          <w:tcPr>
            <w:tcW w:w="2902" w:type="dxa"/>
            <w:shd w:val="clear" w:color="auto" w:fill="auto"/>
            <w:vAlign w:val="center"/>
          </w:tcPr>
          <w:p>
            <w:pPr>
              <w:spacing w:line="584" w:lineRule="exact"/>
              <w:jc w:val="center"/>
              <w:rPr>
                <w:rFonts w:ascii="Times New Roman" w:hAnsi="Times New Roman" w:eastAsia="仿宋_GB2312" w:cs="Times New Roman"/>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b w:val="0"/>
                <w:bCs/>
                <w:sz w:val="21"/>
                <w:szCs w:val="21"/>
              </w:rPr>
            </w:pPr>
          </w:p>
        </w:tc>
        <w:tc>
          <w:tcPr>
            <w:tcW w:w="1134" w:type="dxa"/>
            <w:shd w:val="clear" w:color="auto" w:fill="auto"/>
            <w:vAlign w:val="center"/>
          </w:tcPr>
          <w:p>
            <w:pPr>
              <w:spacing w:line="584" w:lineRule="exact"/>
              <w:jc w:val="center"/>
              <w:rPr>
                <w:rFonts w:ascii="Times New Roman" w:hAnsi="Times New Roman" w:eastAsia="仿宋_GB2312" w:cs="Times New Roman"/>
                <w:b w:val="0"/>
                <w:bCs/>
                <w:sz w:val="21"/>
                <w:szCs w:val="21"/>
              </w:rPr>
            </w:pPr>
          </w:p>
        </w:tc>
        <w:tc>
          <w:tcPr>
            <w:tcW w:w="1276" w:type="dxa"/>
            <w:shd w:val="clear" w:color="auto" w:fill="auto"/>
            <w:vAlign w:val="center"/>
          </w:tcPr>
          <w:p>
            <w:pPr>
              <w:spacing w:line="584" w:lineRule="exact"/>
              <w:jc w:val="center"/>
              <w:rPr>
                <w:rFonts w:ascii="Times New Roman" w:hAnsi="Times New Roman" w:eastAsia="仿宋_GB2312" w:cs="Times New Roman"/>
                <w:b w:val="0"/>
                <w:bCs/>
                <w:sz w:val="21"/>
                <w:szCs w:val="21"/>
              </w:rPr>
            </w:pPr>
          </w:p>
        </w:tc>
        <w:tc>
          <w:tcPr>
            <w:tcW w:w="2902" w:type="dxa"/>
            <w:shd w:val="clear" w:color="auto" w:fill="auto"/>
            <w:vAlign w:val="center"/>
          </w:tcPr>
          <w:p>
            <w:pPr>
              <w:spacing w:line="584" w:lineRule="exact"/>
              <w:jc w:val="center"/>
              <w:rPr>
                <w:rFonts w:ascii="Times New Roman" w:hAnsi="Times New Roman" w:eastAsia="仿宋_GB2312" w:cs="Times New Roman"/>
                <w:b w:val="0"/>
                <w:bCs/>
                <w:sz w:val="21"/>
                <w:szCs w:val="21"/>
              </w:rPr>
            </w:pP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lang w:eastAsia="zh-CN"/>
        </w:rPr>
        <w:t>河北省文安县审计局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806.9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806.9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lang w:eastAsia="zh-CN"/>
        </w:rPr>
        <w:t>文安县审计局</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806.9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676.9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628.82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48.08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130</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val="en-US" w:eastAsia="zh-CN"/>
        </w:rPr>
        <w:t>审计业务经费</w:t>
      </w:r>
      <w:r>
        <w:rPr>
          <w:rFonts w:ascii="Times New Roman" w:hAnsi="Times New Roman" w:eastAsia="仿宋_GB2312" w:cs="Times New Roman"/>
          <w:sz w:val="32"/>
          <w:szCs w:val="32"/>
        </w:rPr>
        <w:t>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806.9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增加2.51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2.51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人员工资</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lang w:val="en-US" w:eastAsia="zh-CN"/>
        </w:rPr>
        <w:t>与2022年预算持平</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48.08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局机关</w:t>
      </w:r>
      <w:r>
        <w:rPr>
          <w:rFonts w:ascii="Times New Roman" w:hAnsi="Times New Roman" w:eastAsia="仿宋_GB2312" w:cs="Times New Roman"/>
          <w:sz w:val="32"/>
          <w:szCs w:val="32"/>
        </w:rPr>
        <w:t>办公区的日常维修、</w:t>
      </w:r>
      <w:r>
        <w:rPr>
          <w:rFonts w:hint="eastAsia" w:ascii="Times New Roman" w:hAnsi="Times New Roman" w:eastAsia="仿宋_GB2312" w:cs="Times New Roman"/>
          <w:sz w:val="32"/>
          <w:szCs w:val="32"/>
          <w:lang w:val="en-US" w:eastAsia="zh-CN"/>
        </w:rPr>
        <w:t xml:space="preserve"> 日常办公设备维护、办公用品耗材</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黑体"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0.8万元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压减公务用车运行维护费的支出</w:t>
      </w:r>
      <w:r>
        <w:rPr>
          <w:rFonts w:hint="eastAsia" w:ascii="Times New Roman" w:hAnsi="Times New Roman" w:eastAsia="仿宋_GB2312" w:cs="Times New Roman"/>
          <w:sz w:val="32"/>
          <w:szCs w:val="32"/>
          <w:lang w:val="en-US" w:eastAsia="zh-CN"/>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color w:val="FFFFFF" w:themeColor="background1"/>
          <w:sz w:val="32"/>
          <w:szCs w:val="32"/>
        </w:rPr>
      </w:pPr>
      <w:r>
        <w:rPr>
          <w:rFonts w:hint="eastAsia" w:ascii="楷体_GB2312" w:eastAsia="楷体_GB2312" w:cs="Times New Roman"/>
          <w:b/>
          <w:sz w:val="32"/>
          <w:szCs w:val="32"/>
        </w:rPr>
        <w:t>（一）总体绩效目标</w:t>
      </w:r>
    </w:p>
    <w:p>
      <w:pPr>
        <w:ind w:firstLine="640" w:firstLineChars="200"/>
        <w:rPr>
          <w:rFonts w:hint="eastAsia" w:ascii="仿宋_GB2312" w:hAnsi="Arial" w:eastAsia="仿宋_GB2312" w:cs="仿宋_GB2312"/>
          <w:color w:val="333333"/>
          <w:kern w:val="0"/>
          <w:sz w:val="32"/>
          <w:szCs w:val="32"/>
          <w:shd w:val="clear" w:color="auto" w:fill="FFFFFF"/>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文安县审计局将按照部门职责和年度工作计划安排开展审计工作。自2月中旬开始，按照省厅审计工作方案和市局要求，以规范资金分配管理、盘活财政资金存量，调整财政支出结构，关注财政支出投向为目标，重点检查财政专项资金管理分配使用情况，促进厉行节约和规范管理，于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年5月底前将全县审计综合报告和汇总报表报送市局财政科。对行政事业单位的审计，按照202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审计项目计划规定的时间，以加强行政事业单位的财务管理，规范经济活动行为为目标，以财政、财务收支的真实性、合法性、效益性为主线，促进规范管理，提高资金使用效益。社会保障审计以促进惠民政策贯彻落实，推动完善基本医疗保障为目标，着重开展企业职工基本养老保险金、城镇职工基本医疗保险基金、失业保险基金、工伤保险基金及生育保险基金的资产、负债和基金收支情况专项审计，对民政抚恤金进行审计。政府投资建设项目审计，重点审查基本建设程序的合法性、资金筹集管理使用的合规性、工程造价的计量与结算的真实性，并在具体工作中加大竣工决算审计力度，重点建设项目做到跟踪审计。党政领导干部经济责任审计，按照“全面推进、突出重点、健全制度、规范管理、提高质量、深化发展”的工作思路，接受组织部委托，对部分单位党政领导干部进行任期或离任审计，探索对农村“两委”主要负责人的经济责任审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40" w:firstLineChars="200"/>
        <w:rPr>
          <w:rFonts w:hint="eastAsia" w:ascii="Times New Roman" w:hAnsi="Times New Roman" w:eastAsia="仿宋_GB2312" w:cs="Times New Roman"/>
          <w:sz w:val="32"/>
          <w:szCs w:val="32"/>
        </w:rPr>
      </w:pPr>
      <w:r>
        <w:rPr>
          <w:rFonts w:hint="eastAsia" w:ascii="仿宋_GB2312" w:hAnsi="Arial" w:eastAsia="仿宋_GB2312" w:cs="仿宋_GB2312"/>
          <w:color w:val="333333"/>
          <w:kern w:val="0"/>
          <w:sz w:val="32"/>
          <w:szCs w:val="32"/>
          <w:shd w:val="clear" w:color="auto" w:fill="FFFFFF"/>
        </w:rPr>
        <w:t>（</w:t>
      </w:r>
      <w:r>
        <w:rPr>
          <w:rFonts w:hint="eastAsia" w:ascii="Times New Roman" w:hAnsi="Times New Roman" w:eastAsia="仿宋_GB2312" w:cs="Times New Roman"/>
          <w:sz w:val="32"/>
          <w:szCs w:val="32"/>
        </w:rPr>
        <w:t>一）机关日常工作运转方面</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绩效目标：保障机关工作正常运转，服务单位中心工作。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绩效指标：加强机关审计监督服务质量建设。</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（二）全县审计工作发展规划方面</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绩效目标：拟定全县审计工作发展规划，对审计工作重要问题进行研究。</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监督检查全县审计机关审计业务质量，负责对重大违纪违法问题线索的移送协调。依法检查审计决定执行情况，督促被审计单位进行整改。监督内部审计职责履行情况，检查内部审计业务质量。负责协调对社会审计机构出具的相关审计报告的核查。</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（三）县本级预算执行、决算草案和其他财政收支情况进行审计方面</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绩效目标：牵头起草年度县本级预算执行和其他财政收支情况的审计报告、审计结果报告、审计工作报告。</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绩效指标：负责对全县财政收支和依法属于审计监督范围的财务收支的真实、合法和效益进行审计监督。</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（四）社保资金审计方面</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绩效目标：负责对县政府相关部门、县政府管理和县政府及其部门委托其他单位管理的社会保障基金进行审计。</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绩效指标：通过审计监督，充分发挥资金效益。</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（五）政府投资工程审计项目方面</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绩效目标：负责对县级投资、以县级投资为主的城市公用事业工程、城市基础设施建设及土地一级开发等工程。</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绩效指标：通过对政府投资的工程建设项目以及其他关系到国家利益和公共利益的重大公共工程项目进行审计，确保工程资金高效利用，工程质量符合设计要求。</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（六）县党政领导干部自然资源资产离任审计方面</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绩效目标：负责对县直党政工作部门、事业单位、人民团体党政主要领导干部的经济责任履行情况进行审计。</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绩效指标：督促领导干部确实履行自然资源资产管理和生态环境保护责任，推动解决自然资源资产和生态环境领域突出问题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年，文安县审计局根据审计署、省厅及市局安排的审计项目，按照县委、县政府决策部署，深入落实“审计要促发展”的工作方针，在规划目标保障方面主要做好以下几项措施：</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（一）积极推进202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年度工作计划任务的完成</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围绕全年目标，进行动态监测，积极推进预算执行情况审计和其他审计项目的完成。</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（二）强化权力运行监督，加大经济责任审计力度</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通过领导干部自然资源离任审计，督促领导干部切实履行自然资源资产管理和生态环境保护责任，推动解决自然资源资产和生态环境领域突出问题。</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（三）加强固定资产投资审计项目的跟踪审计及时性</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根据《建设项目审计处理暂行规定》及《河北省国家建设》等法律、法规加强对政府投资项目的监管，提高工程质量和资金的使用效率。</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（四）规范乡镇财务收支</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通过乡镇财务收支审计，注重对财政预算收支行为的真实性、合法性及效益性进行审计，及时发现问题规范制度。</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（五）强化审计项目发现问题的整改落实</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发挥审计监督作用，抓好审计项目的审理工作，强化审计项目的后期跟踪，督办整改，提高审计落实率。</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（六）加强绩效运行监控</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按要求开展绩效运行监控，发现问题及时采取有效措施，确保绩效目标如期保质实现。</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（七）完善制度建设</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制定完善预算绩效管理制定、资金管理办法、工作保障制度，为全年预算绩效目标的实现奠定制度基础。</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（八）做好绩效自评</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按要求开展上年度部门预算绩效自评和重点评价工作，对评价中发现的问题及时整改，调整优化支出结构，提高财政资金使用效益。</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（九）规范财务资产管理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完善财务管理制度，严格审批程序，加强固定资产登记、使用和报废处置管理，做到支出合理，物尽其用。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（十）加强内部监督</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加强内部监督制度建设，对绩效运行情况、重大支出决策、资产处置及其他重要经济业务事项的决策和执行进行督导，确保财政资金安全，使用高效。</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（十一）加强宣传培训工作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加强人员培训，提高各股室人员业务素质；优化财政资金配置、提高资金使用效益，加大宣传力度，强化预算绩效管理意识，促进预算绩效管理水平进一步提高。</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pPr w:leftFromText="180" w:rightFromText="180" w:vertAnchor="text" w:horzAnchor="page" w:tblpX="2462" w:tblpY="804"/>
        <w:tblOverlap w:val="never"/>
        <w:tblW w:w="10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54"/>
        <w:gridCol w:w="1014"/>
        <w:gridCol w:w="1662"/>
        <w:gridCol w:w="973"/>
        <w:gridCol w:w="2595"/>
        <w:gridCol w:w="466"/>
        <w:gridCol w:w="547"/>
        <w:gridCol w:w="831"/>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26" w:hRule="atLeast"/>
          <w:tblHeader/>
        </w:trPr>
        <w:tc>
          <w:tcPr>
            <w:tcW w:w="105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01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66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7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59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4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4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33" w:hRule="atLeast"/>
          <w:tblHeader/>
        </w:trPr>
        <w:tc>
          <w:tcPr>
            <w:tcW w:w="1054" w:type="dxa"/>
            <w:vMerge w:val="continue"/>
            <w:tcBorders>
              <w:tl2br w:val="nil"/>
              <w:tr2bl w:val="nil"/>
            </w:tcBorders>
            <w:vAlign w:val="center"/>
          </w:tcPr>
          <w:p/>
        </w:tc>
        <w:tc>
          <w:tcPr>
            <w:tcW w:w="1014" w:type="dxa"/>
            <w:vMerge w:val="continue"/>
            <w:tcBorders>
              <w:tl2br w:val="nil"/>
              <w:tr2bl w:val="nil"/>
            </w:tcBorders>
            <w:vAlign w:val="center"/>
          </w:tcPr>
          <w:p/>
        </w:tc>
        <w:tc>
          <w:tcPr>
            <w:tcW w:w="1662" w:type="dxa"/>
            <w:vMerge w:val="continue"/>
            <w:tcBorders>
              <w:tl2br w:val="nil"/>
              <w:tr2bl w:val="nil"/>
            </w:tcBorders>
            <w:vAlign w:val="center"/>
          </w:tcPr>
          <w:p/>
        </w:tc>
        <w:tc>
          <w:tcPr>
            <w:tcW w:w="973" w:type="dxa"/>
            <w:vMerge w:val="continue"/>
            <w:tcBorders>
              <w:tl2br w:val="nil"/>
              <w:tr2bl w:val="nil"/>
            </w:tcBorders>
            <w:vAlign w:val="center"/>
          </w:tcPr>
          <w:p/>
        </w:tc>
        <w:tc>
          <w:tcPr>
            <w:tcW w:w="2595" w:type="dxa"/>
            <w:vMerge w:val="continue"/>
            <w:tcBorders>
              <w:tl2br w:val="nil"/>
              <w:tr2bl w:val="nil"/>
            </w:tcBorders>
            <w:vAlign w:val="center"/>
          </w:tcPr>
          <w:p/>
        </w:tc>
        <w:tc>
          <w:tcPr>
            <w:tcW w:w="46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4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3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45"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trPr>
        <w:tc>
          <w:tcPr>
            <w:tcW w:w="1054"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6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工资发放率</w:t>
            </w:r>
          </w:p>
        </w:tc>
        <w:tc>
          <w:tcPr>
            <w:tcW w:w="9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无</w:t>
            </w:r>
          </w:p>
        </w:tc>
        <w:tc>
          <w:tcPr>
            <w:tcW w:w="259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人员工资及补贴的正常发放</w:t>
            </w:r>
          </w:p>
        </w:tc>
        <w:tc>
          <w:tcPr>
            <w:tcW w:w="466"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rPr>
              <w:t>=</w:t>
            </w:r>
          </w:p>
        </w:tc>
        <w:tc>
          <w:tcPr>
            <w:tcW w:w="547"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100</w:t>
            </w:r>
          </w:p>
        </w:tc>
        <w:tc>
          <w:tcPr>
            <w:tcW w:w="83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百分比</w:t>
            </w:r>
          </w:p>
        </w:tc>
        <w:tc>
          <w:tcPr>
            <w:tcW w:w="1845" w:type="dxa"/>
            <w:tcBorders>
              <w:tl2br w:val="nil"/>
              <w:tr2bl w:val="nil"/>
            </w:tcBorders>
            <w:vAlign w:val="center"/>
          </w:tcPr>
          <w:p>
            <w:pPr>
              <w:widowControl/>
              <w:adjustRightInd w:val="0"/>
              <w:snapToGrid w:val="0"/>
              <w:rPr>
                <w:rFonts w:ascii="方正书宋_GBK" w:eastAsia="方正书宋_GBK"/>
                <w:sz w:val="15"/>
                <w:szCs w:val="15"/>
              </w:rPr>
            </w:pPr>
            <w:r>
              <w:rPr>
                <w:rFonts w:hint="eastAsia" w:ascii="方正书宋_GBK" w:eastAsia="方正书宋_GBK"/>
                <w:sz w:val="21"/>
                <w:szCs w:val="21"/>
              </w:rPr>
              <w:t>文安县审计局职能配置、内设机构和人员编制规定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trPr>
        <w:tc>
          <w:tcPr>
            <w:tcW w:w="1054"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6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保质保量完成审计方案既定的目标</w:t>
            </w:r>
          </w:p>
        </w:tc>
        <w:tc>
          <w:tcPr>
            <w:tcW w:w="9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无</w:t>
            </w:r>
          </w:p>
        </w:tc>
        <w:tc>
          <w:tcPr>
            <w:tcW w:w="259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依法审计、服务大局、确保每项审计工作的审计报告达到优质审计项目的标准要求。</w:t>
            </w:r>
          </w:p>
        </w:tc>
        <w:tc>
          <w:tcPr>
            <w:tcW w:w="466"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val="en-US" w:eastAsia="zh-CN"/>
              </w:rPr>
              <w:t>=</w:t>
            </w:r>
          </w:p>
        </w:tc>
        <w:tc>
          <w:tcPr>
            <w:tcW w:w="547"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100</w:t>
            </w:r>
          </w:p>
        </w:tc>
        <w:tc>
          <w:tcPr>
            <w:tcW w:w="831"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rPr>
              <w:t>百分比</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文安县审计局职能配置、内设机构和人员编制规定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58" w:hRule="atLeast"/>
        </w:trPr>
        <w:tc>
          <w:tcPr>
            <w:tcW w:w="1054"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6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12个月内完成202</w:t>
            </w:r>
            <w:r>
              <w:rPr>
                <w:rFonts w:hint="eastAsia" w:ascii="方正书宋_GBK" w:eastAsia="方正书宋_GBK"/>
                <w:lang w:val="en-US" w:eastAsia="zh-CN"/>
              </w:rPr>
              <w:t>2</w:t>
            </w:r>
            <w:r>
              <w:rPr>
                <w:rFonts w:hint="eastAsia" w:ascii="方正书宋_GBK" w:eastAsia="方正书宋_GBK"/>
              </w:rPr>
              <w:t>年的项目审计</w:t>
            </w:r>
          </w:p>
        </w:tc>
        <w:tc>
          <w:tcPr>
            <w:tcW w:w="9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无</w:t>
            </w:r>
          </w:p>
        </w:tc>
        <w:tc>
          <w:tcPr>
            <w:tcW w:w="259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按照202</w:t>
            </w:r>
            <w:r>
              <w:rPr>
                <w:rFonts w:hint="eastAsia" w:ascii="方正书宋_GBK" w:eastAsia="方正书宋_GBK"/>
                <w:lang w:val="en-US" w:eastAsia="zh-CN"/>
              </w:rPr>
              <w:t>2</w:t>
            </w:r>
            <w:r>
              <w:rPr>
                <w:rFonts w:hint="eastAsia" w:ascii="方正书宋_GBK" w:eastAsia="方正书宋_GBK"/>
              </w:rPr>
              <w:t>年审计计划的时间节点要求，确保12个月内圆满完成项目审计</w:t>
            </w:r>
          </w:p>
        </w:tc>
        <w:tc>
          <w:tcPr>
            <w:tcW w:w="466"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w:t>
            </w:r>
          </w:p>
        </w:tc>
        <w:tc>
          <w:tcPr>
            <w:tcW w:w="547"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12</w:t>
            </w:r>
          </w:p>
        </w:tc>
        <w:tc>
          <w:tcPr>
            <w:tcW w:w="831"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月</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文安县审计局职能配置、内设机构和人员编制规定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trPr>
        <w:tc>
          <w:tcPr>
            <w:tcW w:w="1054"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6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审计经费保障</w:t>
            </w:r>
          </w:p>
        </w:tc>
        <w:tc>
          <w:tcPr>
            <w:tcW w:w="9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无</w:t>
            </w:r>
          </w:p>
        </w:tc>
        <w:tc>
          <w:tcPr>
            <w:tcW w:w="259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保障审计工作的正常运转及审计经费的正常支出</w:t>
            </w:r>
          </w:p>
        </w:tc>
        <w:tc>
          <w:tcPr>
            <w:tcW w:w="46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547"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130</w:t>
            </w:r>
          </w:p>
        </w:tc>
        <w:tc>
          <w:tcPr>
            <w:tcW w:w="831"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万元</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文安县审计局职能配置、内设机构和人员编制规定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trPr>
        <w:tc>
          <w:tcPr>
            <w:tcW w:w="1054"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662" w:type="dxa"/>
            <w:tcBorders>
              <w:tl2br w:val="nil"/>
              <w:tr2bl w:val="nil"/>
            </w:tcBorders>
            <w:vAlign w:val="center"/>
          </w:tcPr>
          <w:p>
            <w:pPr>
              <w:widowControl/>
              <w:adjustRightInd w:val="0"/>
              <w:snapToGrid w:val="0"/>
              <w:rPr>
                <w:rFonts w:ascii="方正书宋_GBK" w:eastAsia="方正书宋_GBK"/>
              </w:rPr>
            </w:pPr>
          </w:p>
        </w:tc>
        <w:tc>
          <w:tcPr>
            <w:tcW w:w="973" w:type="dxa"/>
            <w:tcBorders>
              <w:tl2br w:val="nil"/>
              <w:tr2bl w:val="nil"/>
            </w:tcBorders>
            <w:vAlign w:val="center"/>
          </w:tcPr>
          <w:p>
            <w:pPr>
              <w:widowControl/>
              <w:adjustRightInd w:val="0"/>
              <w:snapToGrid w:val="0"/>
              <w:rPr>
                <w:rFonts w:ascii="方正书宋_GBK" w:eastAsia="方正书宋_GBK"/>
              </w:rPr>
            </w:pPr>
          </w:p>
        </w:tc>
        <w:tc>
          <w:tcPr>
            <w:tcW w:w="2595" w:type="dxa"/>
            <w:tcBorders>
              <w:tl2br w:val="nil"/>
              <w:tr2bl w:val="nil"/>
            </w:tcBorders>
            <w:vAlign w:val="center"/>
          </w:tcPr>
          <w:p>
            <w:pPr>
              <w:widowControl/>
              <w:adjustRightInd w:val="0"/>
              <w:snapToGrid w:val="0"/>
              <w:rPr>
                <w:rFonts w:ascii="方正书宋_GBK" w:eastAsia="方正书宋_GBK"/>
              </w:rPr>
            </w:pPr>
          </w:p>
        </w:tc>
        <w:tc>
          <w:tcPr>
            <w:tcW w:w="466" w:type="dxa"/>
            <w:tcBorders>
              <w:tl2br w:val="nil"/>
              <w:tr2bl w:val="nil"/>
            </w:tcBorders>
            <w:vAlign w:val="center"/>
          </w:tcPr>
          <w:p>
            <w:pPr>
              <w:widowControl/>
              <w:adjustRightInd w:val="0"/>
              <w:snapToGrid w:val="0"/>
              <w:jc w:val="center"/>
              <w:rPr>
                <w:rFonts w:ascii="方正书宋_GBK" w:eastAsia="方正书宋_GBK"/>
              </w:rPr>
            </w:pPr>
          </w:p>
        </w:tc>
        <w:tc>
          <w:tcPr>
            <w:tcW w:w="547" w:type="dxa"/>
            <w:tcBorders>
              <w:tl2br w:val="nil"/>
              <w:tr2bl w:val="nil"/>
            </w:tcBorders>
            <w:vAlign w:val="center"/>
          </w:tcPr>
          <w:p>
            <w:pPr>
              <w:widowControl/>
              <w:adjustRightInd w:val="0"/>
              <w:snapToGrid w:val="0"/>
              <w:jc w:val="center"/>
              <w:rPr>
                <w:rFonts w:ascii="方正书宋_GBK" w:eastAsia="方正书宋_GBK"/>
              </w:rPr>
            </w:pPr>
          </w:p>
        </w:tc>
        <w:tc>
          <w:tcPr>
            <w:tcW w:w="831" w:type="dxa"/>
            <w:tcBorders>
              <w:tl2br w:val="nil"/>
              <w:tr2bl w:val="nil"/>
            </w:tcBorders>
            <w:vAlign w:val="center"/>
          </w:tcPr>
          <w:p>
            <w:pPr>
              <w:widowControl/>
              <w:adjustRightInd w:val="0"/>
              <w:snapToGrid w:val="0"/>
              <w:jc w:val="center"/>
              <w:rPr>
                <w:rFonts w:ascii="方正书宋_GBK" w:eastAsia="方正书宋_GBK"/>
              </w:rPr>
            </w:pPr>
          </w:p>
        </w:tc>
        <w:tc>
          <w:tcPr>
            <w:tcW w:w="1845"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trPr>
        <w:tc>
          <w:tcPr>
            <w:tcW w:w="1054"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66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通过开展审计工作推动机关事业单位履行社会责任，推动经济社会发展，服务人民群众。</w:t>
            </w:r>
          </w:p>
        </w:tc>
        <w:tc>
          <w:tcPr>
            <w:tcW w:w="9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无</w:t>
            </w:r>
          </w:p>
        </w:tc>
        <w:tc>
          <w:tcPr>
            <w:tcW w:w="259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开展对财政资金和公共资源配置、使用利用的经济性、效率性和效果性进行审计，发挥审计的监督职能，完善制度以满足社会公众需求，促进经济社会发展的目标</w:t>
            </w:r>
          </w:p>
        </w:tc>
        <w:tc>
          <w:tcPr>
            <w:tcW w:w="466" w:type="dxa"/>
            <w:tcBorders>
              <w:tl2br w:val="nil"/>
              <w:tr2bl w:val="nil"/>
            </w:tcBorders>
            <w:vAlign w:val="center"/>
          </w:tcPr>
          <w:p>
            <w:pPr>
              <w:widowControl/>
              <w:adjustRightInd w:val="0"/>
              <w:snapToGrid w:val="0"/>
              <w:ind w:firstLine="210" w:firstLineChars="100"/>
              <w:rPr>
                <w:rFonts w:ascii="方正书宋_GBK" w:eastAsia="方正书宋_GBK"/>
              </w:rPr>
            </w:pPr>
            <w:r>
              <w:rPr>
                <w:rFonts w:hint="eastAsia" w:ascii="方正书宋_GBK" w:eastAsia="方正书宋_GBK"/>
              </w:rPr>
              <w:t>≥</w:t>
            </w:r>
          </w:p>
        </w:tc>
        <w:tc>
          <w:tcPr>
            <w:tcW w:w="547" w:type="dxa"/>
            <w:tcBorders>
              <w:tl2br w:val="nil"/>
              <w:tr2bl w:val="nil"/>
            </w:tcBorders>
            <w:vAlign w:val="center"/>
          </w:tcPr>
          <w:p>
            <w:pPr>
              <w:widowControl/>
              <w:adjustRightInd w:val="0"/>
              <w:snapToGrid w:val="0"/>
              <w:ind w:firstLine="216" w:firstLineChars="0"/>
              <w:rPr>
                <w:rFonts w:hint="default" w:ascii="方正书宋_GBK" w:eastAsia="方正书宋_GBK"/>
                <w:lang w:val="en-US" w:eastAsia="zh-CN"/>
              </w:rPr>
            </w:pPr>
            <w:r>
              <w:rPr>
                <w:rFonts w:hint="eastAsia" w:ascii="方正书宋_GBK" w:eastAsia="方正书宋_GBK"/>
                <w:lang w:val="en-US" w:eastAsia="zh-CN"/>
              </w:rPr>
              <w:t>95</w:t>
            </w:r>
          </w:p>
        </w:tc>
        <w:tc>
          <w:tcPr>
            <w:tcW w:w="83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百分比</w:t>
            </w:r>
          </w:p>
        </w:tc>
        <w:tc>
          <w:tcPr>
            <w:tcW w:w="1845"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文安县审计局职能配置、内设机构和人员编制规定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trPr>
        <w:tc>
          <w:tcPr>
            <w:tcW w:w="1054"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662" w:type="dxa"/>
            <w:tcBorders>
              <w:tl2br w:val="nil"/>
              <w:tr2bl w:val="nil"/>
            </w:tcBorders>
            <w:vAlign w:val="center"/>
          </w:tcPr>
          <w:p>
            <w:pPr>
              <w:widowControl/>
              <w:adjustRightInd w:val="0"/>
              <w:snapToGrid w:val="0"/>
              <w:rPr>
                <w:rFonts w:ascii="方正书宋_GBK" w:eastAsia="方正书宋_GBK"/>
              </w:rPr>
            </w:pPr>
          </w:p>
        </w:tc>
        <w:tc>
          <w:tcPr>
            <w:tcW w:w="973" w:type="dxa"/>
            <w:tcBorders>
              <w:tl2br w:val="nil"/>
              <w:tr2bl w:val="nil"/>
            </w:tcBorders>
            <w:vAlign w:val="center"/>
          </w:tcPr>
          <w:p>
            <w:pPr>
              <w:widowControl/>
              <w:adjustRightInd w:val="0"/>
              <w:snapToGrid w:val="0"/>
              <w:rPr>
                <w:rFonts w:ascii="方正书宋_GBK" w:eastAsia="方正书宋_GBK"/>
              </w:rPr>
            </w:pPr>
          </w:p>
        </w:tc>
        <w:tc>
          <w:tcPr>
            <w:tcW w:w="2595" w:type="dxa"/>
            <w:tcBorders>
              <w:tl2br w:val="nil"/>
              <w:tr2bl w:val="nil"/>
            </w:tcBorders>
            <w:vAlign w:val="center"/>
          </w:tcPr>
          <w:p>
            <w:pPr>
              <w:widowControl/>
              <w:adjustRightInd w:val="0"/>
              <w:snapToGrid w:val="0"/>
              <w:rPr>
                <w:rFonts w:ascii="方正书宋_GBK" w:eastAsia="方正书宋_GBK"/>
              </w:rPr>
            </w:pPr>
          </w:p>
        </w:tc>
        <w:tc>
          <w:tcPr>
            <w:tcW w:w="466" w:type="dxa"/>
            <w:tcBorders>
              <w:tl2br w:val="nil"/>
              <w:tr2bl w:val="nil"/>
            </w:tcBorders>
            <w:vAlign w:val="center"/>
          </w:tcPr>
          <w:p>
            <w:pPr>
              <w:widowControl/>
              <w:adjustRightInd w:val="0"/>
              <w:snapToGrid w:val="0"/>
              <w:rPr>
                <w:rFonts w:ascii="方正书宋_GBK" w:eastAsia="方正书宋_GBK"/>
              </w:rPr>
            </w:pPr>
          </w:p>
        </w:tc>
        <w:tc>
          <w:tcPr>
            <w:tcW w:w="547" w:type="dxa"/>
            <w:tcBorders>
              <w:tl2br w:val="nil"/>
              <w:tr2bl w:val="nil"/>
            </w:tcBorders>
            <w:vAlign w:val="center"/>
          </w:tcPr>
          <w:p>
            <w:pPr>
              <w:widowControl/>
              <w:adjustRightInd w:val="0"/>
              <w:snapToGrid w:val="0"/>
              <w:rPr>
                <w:rFonts w:ascii="方正书宋_GBK" w:eastAsia="方正书宋_GBK"/>
              </w:rPr>
            </w:pPr>
          </w:p>
        </w:tc>
        <w:tc>
          <w:tcPr>
            <w:tcW w:w="831" w:type="dxa"/>
            <w:tcBorders>
              <w:tl2br w:val="nil"/>
              <w:tr2bl w:val="nil"/>
            </w:tcBorders>
            <w:vAlign w:val="center"/>
          </w:tcPr>
          <w:p>
            <w:pPr>
              <w:widowControl/>
              <w:adjustRightInd w:val="0"/>
              <w:snapToGrid w:val="0"/>
              <w:rPr>
                <w:rFonts w:ascii="方正书宋_GBK" w:eastAsia="方正书宋_GBK"/>
              </w:rPr>
            </w:pPr>
          </w:p>
        </w:tc>
        <w:tc>
          <w:tcPr>
            <w:tcW w:w="1845"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70" w:hRule="atLeast"/>
        </w:trPr>
        <w:tc>
          <w:tcPr>
            <w:tcW w:w="1054" w:type="dxa"/>
            <w:vMerge w:val="continue"/>
            <w:tcBorders>
              <w:tl2br w:val="nil"/>
              <w:tr2bl w:val="nil"/>
            </w:tcBorders>
            <w:vAlign w:val="center"/>
          </w:tcPr>
          <w:p/>
        </w:tc>
        <w:tc>
          <w:tcPr>
            <w:tcW w:w="1014"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662" w:type="dxa"/>
            <w:tcBorders>
              <w:tl2br w:val="nil"/>
              <w:tr2bl w:val="nil"/>
            </w:tcBorders>
            <w:noWrap/>
            <w:vAlign w:val="center"/>
          </w:tcPr>
          <w:p>
            <w:pPr>
              <w:widowControl/>
              <w:adjustRightInd w:val="0"/>
              <w:snapToGrid w:val="0"/>
              <w:rPr>
                <w:rFonts w:ascii="方正书宋_GBK" w:eastAsia="方正书宋_GBK"/>
              </w:rPr>
            </w:pPr>
          </w:p>
        </w:tc>
        <w:tc>
          <w:tcPr>
            <w:tcW w:w="973" w:type="dxa"/>
            <w:tcBorders>
              <w:tl2br w:val="nil"/>
              <w:tr2bl w:val="nil"/>
            </w:tcBorders>
            <w:noWrap/>
            <w:vAlign w:val="center"/>
          </w:tcPr>
          <w:p>
            <w:pPr>
              <w:widowControl/>
              <w:adjustRightInd w:val="0"/>
              <w:snapToGrid w:val="0"/>
              <w:rPr>
                <w:rFonts w:ascii="方正书宋_GBK" w:eastAsia="方正书宋_GBK"/>
              </w:rPr>
            </w:pPr>
          </w:p>
        </w:tc>
        <w:tc>
          <w:tcPr>
            <w:tcW w:w="2595" w:type="dxa"/>
            <w:tcBorders>
              <w:tl2br w:val="nil"/>
              <w:tr2bl w:val="nil"/>
            </w:tcBorders>
            <w:noWrap/>
            <w:vAlign w:val="center"/>
          </w:tcPr>
          <w:p>
            <w:pPr>
              <w:widowControl/>
              <w:adjustRightInd w:val="0"/>
              <w:snapToGrid w:val="0"/>
              <w:rPr>
                <w:rFonts w:ascii="方正书宋_GBK" w:eastAsia="方正书宋_GBK"/>
              </w:rPr>
            </w:pPr>
          </w:p>
        </w:tc>
        <w:tc>
          <w:tcPr>
            <w:tcW w:w="466" w:type="dxa"/>
            <w:tcBorders>
              <w:tl2br w:val="nil"/>
              <w:tr2bl w:val="nil"/>
            </w:tcBorders>
            <w:vAlign w:val="center"/>
          </w:tcPr>
          <w:p>
            <w:pPr>
              <w:widowControl/>
              <w:adjustRightInd w:val="0"/>
              <w:snapToGrid w:val="0"/>
              <w:jc w:val="center"/>
              <w:rPr>
                <w:rFonts w:ascii="方正书宋_GBK" w:eastAsia="方正书宋_GBK"/>
              </w:rPr>
            </w:pPr>
          </w:p>
        </w:tc>
        <w:tc>
          <w:tcPr>
            <w:tcW w:w="547" w:type="dxa"/>
            <w:tcBorders>
              <w:tl2br w:val="nil"/>
              <w:tr2bl w:val="nil"/>
            </w:tcBorders>
            <w:vAlign w:val="center"/>
          </w:tcPr>
          <w:p>
            <w:pPr>
              <w:widowControl/>
              <w:adjustRightInd w:val="0"/>
              <w:snapToGrid w:val="0"/>
              <w:jc w:val="center"/>
              <w:rPr>
                <w:rFonts w:ascii="方正书宋_GBK" w:eastAsia="方正书宋_GBK"/>
              </w:rPr>
            </w:pPr>
          </w:p>
        </w:tc>
        <w:tc>
          <w:tcPr>
            <w:tcW w:w="831" w:type="dxa"/>
            <w:tcBorders>
              <w:tl2br w:val="nil"/>
              <w:tr2bl w:val="nil"/>
            </w:tcBorders>
            <w:vAlign w:val="center"/>
          </w:tcPr>
          <w:p>
            <w:pPr>
              <w:widowControl/>
              <w:adjustRightInd w:val="0"/>
              <w:snapToGrid w:val="0"/>
              <w:jc w:val="center"/>
              <w:rPr>
                <w:rFonts w:ascii="方正书宋_GBK" w:eastAsia="方正书宋_GBK"/>
              </w:rPr>
            </w:pPr>
          </w:p>
        </w:tc>
        <w:tc>
          <w:tcPr>
            <w:tcW w:w="1845"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04" w:hRule="atLeast"/>
        </w:trPr>
        <w:tc>
          <w:tcPr>
            <w:tcW w:w="1054"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66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被审计单位满意度</w:t>
            </w:r>
          </w:p>
        </w:tc>
        <w:tc>
          <w:tcPr>
            <w:tcW w:w="973" w:type="dxa"/>
            <w:tcBorders>
              <w:tl2br w:val="nil"/>
              <w:tr2bl w:val="nil"/>
            </w:tcBorders>
            <w:noWrap/>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无</w:t>
            </w:r>
          </w:p>
        </w:tc>
        <w:tc>
          <w:tcPr>
            <w:tcW w:w="2595"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促进规范管理，提高资金使用效益</w:t>
            </w:r>
          </w:p>
        </w:tc>
        <w:tc>
          <w:tcPr>
            <w:tcW w:w="466" w:type="dxa"/>
            <w:tcBorders>
              <w:tl2br w:val="nil"/>
              <w:tr2bl w:val="nil"/>
            </w:tcBorders>
            <w:vAlign w:val="center"/>
          </w:tcPr>
          <w:p>
            <w:pPr>
              <w:widowControl/>
              <w:adjustRightInd w:val="0"/>
              <w:snapToGrid w:val="0"/>
              <w:ind w:firstLine="210" w:firstLineChars="100"/>
              <w:rPr>
                <w:rFonts w:ascii="方正书宋_GBK" w:eastAsia="方正书宋_GBK"/>
              </w:rPr>
            </w:pPr>
            <w:r>
              <w:rPr>
                <w:rFonts w:hint="eastAsia" w:ascii="方正书宋_GBK" w:eastAsia="方正书宋_GBK"/>
              </w:rPr>
              <w:t>≥</w:t>
            </w:r>
          </w:p>
        </w:tc>
        <w:tc>
          <w:tcPr>
            <w:tcW w:w="547"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95</w:t>
            </w:r>
          </w:p>
        </w:tc>
        <w:tc>
          <w:tcPr>
            <w:tcW w:w="83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百分比</w:t>
            </w:r>
          </w:p>
        </w:tc>
        <w:tc>
          <w:tcPr>
            <w:tcW w:w="1845" w:type="dxa"/>
            <w:tcBorders>
              <w:tl2br w:val="nil"/>
              <w:tr2bl w:val="nil"/>
            </w:tcBorders>
            <w:vAlign w:val="center"/>
          </w:tcPr>
          <w:p>
            <w:pPr>
              <w:widowControl/>
              <w:adjustRightInd w:val="0"/>
              <w:snapToGrid w:val="0"/>
              <w:ind w:firstLine="505" w:firstLineChars="0"/>
              <w:rPr>
                <w:rFonts w:hint="eastAsia" w:ascii="方正书宋_GBK" w:eastAsia="方正书宋_GBK"/>
                <w:lang w:eastAsia="zh-CN"/>
              </w:rPr>
            </w:pPr>
            <w:r>
              <w:rPr>
                <w:rFonts w:hint="eastAsia" w:ascii="方正书宋_GBK" w:eastAsia="方正书宋_GBK"/>
                <w:lang w:eastAsia="zh-CN"/>
              </w:rPr>
              <w:t>期望值</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sz w:val="28"/>
        </w:rPr>
        <w:t>1</w:t>
      </w:r>
      <w:r>
        <w:rPr>
          <w:rFonts w:hint="eastAsia" w:ascii="Times New Roman" w:hAnsi="Times New Roman" w:eastAsia="仿宋_GB2312" w:cs="Times New Roman"/>
          <w:sz w:val="28"/>
          <w:lang w:eastAsia="zh-CN"/>
        </w:rPr>
        <w:t>、</w:t>
      </w:r>
      <w:r>
        <w:rPr>
          <w:rFonts w:hint="eastAsia" w:ascii="Times New Roman" w:hAnsi="Times New Roman" w:eastAsia="仿宋_GB2312" w:cs="Times New Roman"/>
          <w:kern w:val="2"/>
          <w:sz w:val="32"/>
          <w:szCs w:val="32"/>
          <w:lang w:val="en-US" w:eastAsia="zh-CN" w:bidi="ar-SA"/>
        </w:rPr>
        <w:t>审计业务费绩效目标表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170"/>
        <w:gridCol w:w="2083"/>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绩效目标</w:t>
            </w:r>
          </w:p>
        </w:tc>
        <w:tc>
          <w:tcPr>
            <w:tcW w:w="11653" w:type="dxa"/>
            <w:gridSpan w:val="5"/>
            <w:shd w:val="clear" w:color="auto" w:fill="auto"/>
            <w:vAlign w:val="center"/>
          </w:tcPr>
          <w:p>
            <w:pPr>
              <w:widowControl/>
              <w:adjustRightInd w:val="0"/>
              <w:snapToGrid w:val="0"/>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一级指标</w:t>
            </w:r>
          </w:p>
        </w:tc>
        <w:tc>
          <w:tcPr>
            <w:tcW w:w="2170"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二级指标</w:t>
            </w:r>
          </w:p>
        </w:tc>
        <w:tc>
          <w:tcPr>
            <w:tcW w:w="2083"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三级指标</w:t>
            </w:r>
          </w:p>
        </w:tc>
        <w:tc>
          <w:tcPr>
            <w:tcW w:w="3402"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绩效指标描述</w:t>
            </w:r>
          </w:p>
        </w:tc>
        <w:tc>
          <w:tcPr>
            <w:tcW w:w="1843"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指标值</w:t>
            </w:r>
          </w:p>
        </w:tc>
        <w:tc>
          <w:tcPr>
            <w:tcW w:w="2155"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产出指标</w:t>
            </w:r>
          </w:p>
        </w:tc>
        <w:tc>
          <w:tcPr>
            <w:tcW w:w="2170" w:type="dxa"/>
            <w:shd w:val="clear" w:color="auto" w:fill="auto"/>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rPr>
              <w:t>数量</w:t>
            </w:r>
            <w:r>
              <w:rPr>
                <w:rFonts w:hint="eastAsia" w:ascii="方正书宋_GBK" w:eastAsia="方正书宋_GBK"/>
                <w:lang w:val="en-US" w:eastAsia="zh-CN"/>
              </w:rPr>
              <w:t>指标</w:t>
            </w:r>
          </w:p>
        </w:tc>
        <w:tc>
          <w:tcPr>
            <w:tcW w:w="2083"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审计项目数量</w:t>
            </w:r>
          </w:p>
        </w:tc>
        <w:tc>
          <w:tcPr>
            <w:tcW w:w="3402"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审计项目数量</w:t>
            </w:r>
          </w:p>
        </w:tc>
        <w:tc>
          <w:tcPr>
            <w:tcW w:w="1843" w:type="dxa"/>
            <w:shd w:val="clear" w:color="auto" w:fill="auto"/>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20个</w:t>
            </w:r>
          </w:p>
        </w:tc>
        <w:tc>
          <w:tcPr>
            <w:tcW w:w="2155"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文安县审计局职能配置、内设机构和人员编制规定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widowControl/>
              <w:adjustRightInd w:val="0"/>
              <w:snapToGrid w:val="0"/>
              <w:rPr>
                <w:rFonts w:hint="eastAsia" w:ascii="方正书宋_GBK" w:eastAsia="方正书宋_GBK"/>
              </w:rPr>
            </w:pPr>
          </w:p>
        </w:tc>
        <w:tc>
          <w:tcPr>
            <w:tcW w:w="2170" w:type="dxa"/>
            <w:shd w:val="clear" w:color="auto" w:fill="auto"/>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rPr>
              <w:t>质量</w:t>
            </w:r>
            <w:r>
              <w:rPr>
                <w:rFonts w:hint="eastAsia" w:ascii="方正书宋_GBK" w:eastAsia="方正书宋_GBK"/>
                <w:lang w:val="en-US" w:eastAsia="zh-CN"/>
              </w:rPr>
              <w:t>指标</w:t>
            </w:r>
          </w:p>
        </w:tc>
        <w:tc>
          <w:tcPr>
            <w:tcW w:w="2083"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审计报告合规性比例</w:t>
            </w:r>
          </w:p>
        </w:tc>
        <w:tc>
          <w:tcPr>
            <w:tcW w:w="3402"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审计报告合规性比例</w:t>
            </w:r>
          </w:p>
        </w:tc>
        <w:tc>
          <w:tcPr>
            <w:tcW w:w="1843" w:type="dxa"/>
            <w:shd w:val="clear" w:color="auto" w:fill="auto"/>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95%</w:t>
            </w:r>
          </w:p>
        </w:tc>
        <w:tc>
          <w:tcPr>
            <w:tcW w:w="2155"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文安县审计局职能配置、内设机构和人员编制规定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widowControl/>
              <w:adjustRightInd w:val="0"/>
              <w:snapToGrid w:val="0"/>
              <w:rPr>
                <w:rFonts w:hint="eastAsia" w:ascii="方正书宋_GBK" w:eastAsia="方正书宋_GBK"/>
              </w:rPr>
            </w:pPr>
          </w:p>
        </w:tc>
        <w:tc>
          <w:tcPr>
            <w:tcW w:w="2170" w:type="dxa"/>
            <w:shd w:val="clear" w:color="auto" w:fill="auto"/>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rPr>
              <w:t>时效</w:t>
            </w:r>
            <w:r>
              <w:rPr>
                <w:rFonts w:hint="eastAsia" w:ascii="方正书宋_GBK" w:eastAsia="方正书宋_GBK"/>
                <w:lang w:val="en-US" w:eastAsia="zh-CN"/>
              </w:rPr>
              <w:t>指标</w:t>
            </w:r>
          </w:p>
        </w:tc>
        <w:tc>
          <w:tcPr>
            <w:tcW w:w="2083"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按时完成项目</w:t>
            </w:r>
          </w:p>
        </w:tc>
        <w:tc>
          <w:tcPr>
            <w:tcW w:w="3402"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按时完成项目</w:t>
            </w:r>
          </w:p>
        </w:tc>
        <w:tc>
          <w:tcPr>
            <w:tcW w:w="1843" w:type="dxa"/>
            <w:shd w:val="clear" w:color="auto" w:fill="auto"/>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=100%</w:t>
            </w:r>
          </w:p>
        </w:tc>
        <w:tc>
          <w:tcPr>
            <w:tcW w:w="2155"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文安县审计局职能配置、内设机构和人员编制规定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widowControl/>
              <w:adjustRightInd w:val="0"/>
              <w:snapToGrid w:val="0"/>
              <w:rPr>
                <w:rFonts w:hint="eastAsia" w:ascii="方正书宋_GBK" w:eastAsia="方正书宋_GBK"/>
              </w:rPr>
            </w:pPr>
          </w:p>
        </w:tc>
        <w:tc>
          <w:tcPr>
            <w:tcW w:w="2170" w:type="dxa"/>
            <w:shd w:val="clear" w:color="auto" w:fill="auto"/>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rPr>
              <w:t>成本</w:t>
            </w:r>
            <w:r>
              <w:rPr>
                <w:rFonts w:hint="eastAsia" w:ascii="方正书宋_GBK" w:eastAsia="方正书宋_GBK"/>
                <w:lang w:val="en-US" w:eastAsia="zh-CN"/>
              </w:rPr>
              <w:t>指标</w:t>
            </w:r>
          </w:p>
        </w:tc>
        <w:tc>
          <w:tcPr>
            <w:tcW w:w="2083"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审计业务经费</w:t>
            </w:r>
          </w:p>
        </w:tc>
        <w:tc>
          <w:tcPr>
            <w:tcW w:w="3402"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审计项目经费保障</w:t>
            </w:r>
          </w:p>
        </w:tc>
        <w:tc>
          <w:tcPr>
            <w:tcW w:w="1843" w:type="dxa"/>
            <w:shd w:val="clear" w:color="auto" w:fill="auto"/>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130万元</w:t>
            </w:r>
          </w:p>
        </w:tc>
        <w:tc>
          <w:tcPr>
            <w:tcW w:w="2155"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文安县审计局职能配置、内设机构和人员编制规定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效果指标</w:t>
            </w:r>
          </w:p>
        </w:tc>
        <w:tc>
          <w:tcPr>
            <w:tcW w:w="2170" w:type="dxa"/>
            <w:shd w:val="clear" w:color="auto" w:fill="auto"/>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rPr>
              <w:t>社会效益</w:t>
            </w:r>
            <w:r>
              <w:rPr>
                <w:rFonts w:hint="eastAsia" w:ascii="方正书宋_GBK" w:eastAsia="方正书宋_GBK"/>
                <w:lang w:val="en-US" w:eastAsia="zh-CN"/>
              </w:rPr>
              <w:t>指标</w:t>
            </w:r>
          </w:p>
        </w:tc>
        <w:tc>
          <w:tcPr>
            <w:tcW w:w="2083"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对社会发展带来促进作用</w:t>
            </w:r>
          </w:p>
        </w:tc>
        <w:tc>
          <w:tcPr>
            <w:tcW w:w="3402"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对社会发展带来促进作用</w:t>
            </w:r>
          </w:p>
        </w:tc>
        <w:tc>
          <w:tcPr>
            <w:tcW w:w="1843" w:type="dxa"/>
            <w:shd w:val="clear" w:color="auto" w:fill="auto"/>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95%</w:t>
            </w:r>
          </w:p>
        </w:tc>
        <w:tc>
          <w:tcPr>
            <w:tcW w:w="2155"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文安县审计局职能配置、内设机构和人员编制规定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widowControl/>
              <w:adjustRightInd w:val="0"/>
              <w:snapToGrid w:val="0"/>
              <w:rPr>
                <w:rFonts w:hint="eastAsia" w:ascii="方正书宋_GBK" w:eastAsia="方正书宋_GBK"/>
              </w:rPr>
            </w:pPr>
          </w:p>
        </w:tc>
        <w:tc>
          <w:tcPr>
            <w:tcW w:w="2170" w:type="dxa"/>
            <w:shd w:val="clear" w:color="auto" w:fill="auto"/>
            <w:vAlign w:val="center"/>
          </w:tcPr>
          <w:p>
            <w:pPr>
              <w:widowControl/>
              <w:adjustRightInd w:val="0"/>
              <w:snapToGrid w:val="0"/>
              <w:rPr>
                <w:rFonts w:hint="eastAsia" w:ascii="方正书宋_GBK" w:eastAsia="方正书宋_GBK"/>
              </w:rPr>
            </w:pPr>
          </w:p>
        </w:tc>
        <w:tc>
          <w:tcPr>
            <w:tcW w:w="2083" w:type="dxa"/>
            <w:shd w:val="clear" w:color="auto" w:fill="auto"/>
            <w:vAlign w:val="center"/>
          </w:tcPr>
          <w:p>
            <w:pPr>
              <w:widowControl/>
              <w:adjustRightInd w:val="0"/>
              <w:snapToGrid w:val="0"/>
              <w:rPr>
                <w:rFonts w:hint="eastAsia" w:ascii="方正书宋_GBK" w:eastAsia="方正书宋_GBK"/>
              </w:rPr>
            </w:pPr>
          </w:p>
        </w:tc>
        <w:tc>
          <w:tcPr>
            <w:tcW w:w="3402" w:type="dxa"/>
            <w:shd w:val="clear" w:color="auto" w:fill="auto"/>
            <w:vAlign w:val="center"/>
          </w:tcPr>
          <w:p>
            <w:pPr>
              <w:widowControl/>
              <w:adjustRightInd w:val="0"/>
              <w:snapToGrid w:val="0"/>
              <w:rPr>
                <w:rFonts w:hint="eastAsia" w:ascii="方正书宋_GBK" w:eastAsia="方正书宋_GBK"/>
              </w:rPr>
            </w:pPr>
          </w:p>
        </w:tc>
        <w:tc>
          <w:tcPr>
            <w:tcW w:w="1843" w:type="dxa"/>
            <w:shd w:val="clear" w:color="auto" w:fill="auto"/>
            <w:vAlign w:val="center"/>
          </w:tcPr>
          <w:p>
            <w:pPr>
              <w:widowControl/>
              <w:adjustRightInd w:val="0"/>
              <w:snapToGrid w:val="0"/>
              <w:rPr>
                <w:rFonts w:hint="eastAsia" w:ascii="方正书宋_GBK" w:eastAsia="方正书宋_GBK"/>
              </w:rPr>
            </w:pPr>
          </w:p>
        </w:tc>
        <w:tc>
          <w:tcPr>
            <w:tcW w:w="2155" w:type="dxa"/>
            <w:shd w:val="clear" w:color="auto" w:fill="auto"/>
            <w:vAlign w:val="center"/>
          </w:tcPr>
          <w:p>
            <w:pPr>
              <w:widowControl/>
              <w:adjustRightInd w:val="0"/>
              <w:snapToGrid w:val="0"/>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满意度指标</w:t>
            </w:r>
          </w:p>
        </w:tc>
        <w:tc>
          <w:tcPr>
            <w:tcW w:w="2170" w:type="dxa"/>
            <w:shd w:val="clear" w:color="auto" w:fill="auto"/>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服务对象</w:t>
            </w:r>
            <w:r>
              <w:rPr>
                <w:rFonts w:hint="eastAsia" w:ascii="方正书宋_GBK" w:eastAsia="方正书宋_GBK"/>
              </w:rPr>
              <w:t>满意度</w:t>
            </w:r>
            <w:r>
              <w:rPr>
                <w:rFonts w:hint="eastAsia" w:ascii="方正书宋_GBK" w:eastAsia="方正书宋_GBK"/>
                <w:lang w:val="en-US" w:eastAsia="zh-CN"/>
              </w:rPr>
              <w:t>指标</w:t>
            </w:r>
          </w:p>
        </w:tc>
        <w:tc>
          <w:tcPr>
            <w:tcW w:w="2083" w:type="dxa"/>
            <w:shd w:val="clear" w:color="auto" w:fill="auto"/>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服务对象满意度</w:t>
            </w:r>
          </w:p>
        </w:tc>
        <w:tc>
          <w:tcPr>
            <w:tcW w:w="3402" w:type="dxa"/>
            <w:shd w:val="clear" w:color="auto" w:fill="auto"/>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服务对象满意度</w:t>
            </w:r>
          </w:p>
        </w:tc>
        <w:tc>
          <w:tcPr>
            <w:tcW w:w="1843" w:type="dxa"/>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p>
        </w:tc>
        <w:tc>
          <w:tcPr>
            <w:tcW w:w="2155" w:type="dxa"/>
            <w:shd w:val="clear" w:color="auto" w:fill="auto"/>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期望值</w:t>
            </w:r>
          </w:p>
        </w:tc>
      </w:tr>
    </w:tbl>
    <w:p>
      <w:pPr>
        <w:widowControl/>
        <w:adjustRightInd w:val="0"/>
        <w:snapToGrid w:val="0"/>
        <w:rPr>
          <w:rFonts w:hint="eastAsia" w:ascii="方正书宋_GBK" w:eastAsia="方正书宋_GBK"/>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3</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s="Times New Roman"/>
                <w:sz w:val="24"/>
                <w:lang w:eastAsia="zh-CN"/>
              </w:rPr>
            </w:pPr>
            <w:r>
              <w:rPr>
                <w:rFonts w:hint="eastAsia" w:ascii="方正小标宋_GBK" w:eastAsia="方正小标宋_GBK"/>
                <w:sz w:val="24"/>
                <w:lang w:eastAsia="zh-CN"/>
              </w:rPr>
              <w:t>文安县审计局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firstLineChars="200"/>
        <w:outlineLvl w:val="0"/>
        <w:rPr>
          <w:rFonts w:ascii="Times New Roman" w:hAnsi="Times New Roman" w:eastAsia="仿宋_GB2312" w:cs="Times New Roman"/>
          <w:sz w:val="32"/>
          <w:szCs w:val="24"/>
        </w:rPr>
      </w:pPr>
      <w:r>
        <w:rPr>
          <w:rFonts w:hint="eastAsia" w:ascii="Times New Roman" w:hAnsi="Times New Roman" w:eastAsia="仿宋_GB2312" w:cs="Times New Roman"/>
          <w:sz w:val="32"/>
          <w:szCs w:val="24"/>
          <w:lang w:eastAsia="zh-CN"/>
        </w:rPr>
        <w:t>文安县审计局</w:t>
      </w:r>
      <w:r>
        <w:rPr>
          <w:rFonts w:ascii="Times New Roman" w:hAnsi="Times New Roman" w:eastAsia="仿宋_GB2312" w:cs="Times New Roman"/>
          <w:sz w:val="32"/>
          <w:szCs w:val="24"/>
        </w:rPr>
        <w:t>上年末固定资产金额为</w:t>
      </w:r>
      <w:r>
        <w:rPr>
          <w:rFonts w:hint="eastAsia" w:ascii="Times New Roman" w:hAnsi="Times New Roman" w:eastAsia="仿宋_GB2312" w:cs="Times New Roman"/>
          <w:sz w:val="32"/>
          <w:szCs w:val="24"/>
          <w:lang w:val="en-US" w:eastAsia="zh-CN"/>
        </w:rPr>
        <w:t>110.63</w:t>
      </w:r>
      <w:r>
        <w:rPr>
          <w:rFonts w:ascii="Times New Roman" w:hAnsi="Times New Roman" w:eastAsia="仿宋_GB2312" w:cs="Times New Roman"/>
          <w:sz w:val="32"/>
          <w:szCs w:val="24"/>
        </w:rPr>
        <w:t>万元</w:t>
      </w:r>
      <w:r>
        <w:rPr>
          <w:rFonts w:hint="eastAsia" w:ascii="Times New Roman" w:hAnsi="Times New Roman" w:eastAsia="仿宋_GB2312" w:cs="Times New Roman"/>
          <w:sz w:val="32"/>
          <w:szCs w:val="24"/>
        </w:rPr>
        <w:t>（详见下表）</w:t>
      </w:r>
      <w:r>
        <w:rPr>
          <w:rFonts w:ascii="Times New Roman" w:hAnsi="Times New Roman" w:eastAsia="仿宋_GB2312" w:cs="Times New Roman"/>
          <w:sz w:val="32"/>
          <w:szCs w:val="24"/>
        </w:rPr>
        <w:t>，本年度我部门拟购置固定资产</w:t>
      </w:r>
      <w:r>
        <w:rPr>
          <w:rFonts w:hint="eastAsia" w:ascii="Times New Roman" w:hAnsi="Times New Roman" w:eastAsia="仿宋_GB2312" w:cs="Times New Roman"/>
          <w:sz w:val="32"/>
          <w:szCs w:val="24"/>
        </w:rPr>
        <w:t>总额为</w:t>
      </w:r>
      <w:r>
        <w:rPr>
          <w:rFonts w:hint="eastAsia" w:ascii="Times New Roman" w:hAnsi="Times New Roman" w:eastAsia="仿宋_GB2312" w:cs="Times New Roman"/>
          <w:sz w:val="32"/>
          <w:szCs w:val="24"/>
          <w:lang w:val="en-US" w:eastAsia="zh-CN"/>
        </w:rPr>
        <w:t>0</w:t>
      </w:r>
      <w:r>
        <w:rPr>
          <w:rFonts w:hint="eastAsia" w:ascii="Times New Roman" w:hAnsi="Times New Roman" w:eastAsia="仿宋_GB2312" w:cs="Times New Roman"/>
          <w:sz w:val="32"/>
          <w:szCs w:val="24"/>
        </w:rPr>
        <w:t>万元</w:t>
      </w:r>
      <w:r>
        <w:rPr>
          <w:rFonts w:ascii="Times New Roman" w:hAnsi="Times New Roman" w:eastAsia="仿宋_GB2312" w:cs="Times New Roman"/>
          <w:sz w:val="32"/>
          <w:szCs w:val="24"/>
        </w:rPr>
        <w:t>。</w:t>
      </w:r>
    </w:p>
    <w:p>
      <w:pPr>
        <w:spacing w:line="584" w:lineRule="exact"/>
        <w:ind w:firstLine="640" w:firstLineChars="200"/>
        <w:outlineLvl w:val="0"/>
        <w:rPr>
          <w:rFonts w:ascii="Times New Roman" w:hAnsi="Times New Roman" w:eastAsia="仿宋_GB2312" w:cs="Times New Roman"/>
          <w:sz w:val="32"/>
          <w:szCs w:val="24"/>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val="en-US" w:eastAsia="zh-CN"/>
              </w:rPr>
              <w:t>文安县县直</w:t>
            </w:r>
            <w:r>
              <w:rPr>
                <w:rFonts w:ascii="Times New Roman" w:hAnsi="Times New Roman" w:eastAsia="仿宋_GB2312" w:cs="Times New Roman"/>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adjustRightInd w:val="0"/>
              <w:snapToGrid w:val="0"/>
              <w:rPr>
                <w:rFonts w:hint="eastAsia" w:ascii="方正书宋_GBK" w:eastAsia="方正书宋_GBK"/>
                <w:lang w:eastAsia="zh-CN"/>
              </w:rPr>
            </w:pPr>
            <w:r>
              <w:rPr>
                <w:rFonts w:hint="eastAsia" w:ascii="方正书宋_GBK" w:eastAsia="方正书宋_GBK"/>
              </w:rPr>
              <w:t>编制部门：</w:t>
            </w:r>
            <w:r>
              <w:rPr>
                <w:rFonts w:hint="eastAsia" w:ascii="方正书宋_GBK" w:eastAsia="方正书宋_GBK"/>
                <w:lang w:eastAsia="zh-CN"/>
              </w:rPr>
              <w:t>文安县审计局</w:t>
            </w:r>
          </w:p>
        </w:tc>
        <w:tc>
          <w:tcPr>
            <w:tcW w:w="5103" w:type="dxa"/>
            <w:tcBorders>
              <w:top w:val="nil"/>
              <w:left w:val="nil"/>
              <w:bottom w:val="nil"/>
              <w:right w:val="nil"/>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截止时间：202</w:t>
            </w:r>
            <w:r>
              <w:rPr>
                <w:rFonts w:hint="eastAsia" w:ascii="方正书宋_GBK" w:eastAsia="方正书宋_GBK"/>
                <w:lang w:val="en-US" w:eastAsia="zh-CN"/>
              </w:rPr>
              <w:t>2</w:t>
            </w:r>
            <w:r>
              <w:rPr>
                <w:rFonts w:hint="eastAsia" w:ascii="方正书宋_GBK" w:eastAsia="方正书宋_GBK"/>
              </w:rPr>
              <w:t xml:space="preserve">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w:t>
            </w:r>
          </w:p>
        </w:tc>
        <w:tc>
          <w:tcPr>
            <w:tcW w:w="5103"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110.63</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p>
        </w:tc>
        <w:tc>
          <w:tcPr>
            <w:tcW w:w="5103"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p>
        </w:tc>
        <w:tc>
          <w:tcPr>
            <w:tcW w:w="5103"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p>
        </w:tc>
        <w:tc>
          <w:tcPr>
            <w:tcW w:w="5103"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45.68</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方正书宋_GBK" w:eastAsia="方正书宋_GBK"/>
              </w:rPr>
            </w:pPr>
            <w:r>
              <w:rPr>
                <w:rFonts w:hint="eastAsia" w:ascii="方正书宋_GBK" w:eastAsia="方正书宋_GBK"/>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p>
        </w:tc>
        <w:tc>
          <w:tcPr>
            <w:tcW w:w="5103"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r>
              <w:rPr>
                <w:rFonts w:hint="eastAsia" w:ascii="方正书宋_GBK" w:eastAsia="方正书宋_GBK"/>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eastAsia" w:ascii="方正书宋_GBK" w:eastAsia="方正书宋_GBK"/>
              </w:rPr>
            </w:pPr>
          </w:p>
        </w:tc>
        <w:tc>
          <w:tcPr>
            <w:tcW w:w="5103" w:type="dxa"/>
            <w:tcBorders>
              <w:top w:val="nil"/>
              <w:left w:val="nil"/>
              <w:bottom w:val="single" w:color="auto" w:sz="4" w:space="0"/>
              <w:right w:val="single" w:color="auto" w:sz="4" w:space="0"/>
            </w:tcBorders>
            <w:shd w:val="clear" w:color="auto" w:fill="auto"/>
            <w:noWrap/>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64.95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4592"/>
    <w:rsid w:val="004A54AA"/>
    <w:rsid w:val="008F75EB"/>
    <w:rsid w:val="00A706FE"/>
    <w:rsid w:val="00B80935"/>
    <w:rsid w:val="00D347CC"/>
    <w:rsid w:val="07005207"/>
    <w:rsid w:val="0E2521A6"/>
    <w:rsid w:val="15C62A75"/>
    <w:rsid w:val="160258D8"/>
    <w:rsid w:val="194410F0"/>
    <w:rsid w:val="1BD201B8"/>
    <w:rsid w:val="22A75D62"/>
    <w:rsid w:val="23B31D5F"/>
    <w:rsid w:val="24533936"/>
    <w:rsid w:val="2F2B516E"/>
    <w:rsid w:val="38271C58"/>
    <w:rsid w:val="392A57EB"/>
    <w:rsid w:val="3CC43D7F"/>
    <w:rsid w:val="3D0F1F85"/>
    <w:rsid w:val="3D93516A"/>
    <w:rsid w:val="3DB03104"/>
    <w:rsid w:val="447D17A5"/>
    <w:rsid w:val="48AD6EBD"/>
    <w:rsid w:val="518563FF"/>
    <w:rsid w:val="523C53F3"/>
    <w:rsid w:val="5A4745C5"/>
    <w:rsid w:val="5B092816"/>
    <w:rsid w:val="5D8647AA"/>
    <w:rsid w:val="5E414F27"/>
    <w:rsid w:val="5F7B02B1"/>
    <w:rsid w:val="601420B8"/>
    <w:rsid w:val="64E1630A"/>
    <w:rsid w:val="66D143F2"/>
    <w:rsid w:val="6FFF237B"/>
    <w:rsid w:val="73187776"/>
    <w:rsid w:val="757F33AF"/>
    <w:rsid w:val="78060C7E"/>
    <w:rsid w:val="78647061"/>
    <w:rsid w:val="7A9E742D"/>
    <w:rsid w:val="7F05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488</Words>
  <Characters>2787</Characters>
  <Lines>23</Lines>
  <Paragraphs>6</Paragraphs>
  <TotalTime>64</TotalTime>
  <ScaleCrop>false</ScaleCrop>
  <LinksUpToDate>false</LinksUpToDate>
  <CharactersWithSpaces>3269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2023-02-03T02:18:10Z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6ABA513F3E064A49BC309BB4022CE7D2</vt:lpwstr>
  </property>
</Properties>
</file>